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25466C">
      <w:pPr>
        <w:autoSpaceDE w:val="0"/>
        <w:autoSpaceDN w:val="0"/>
        <w:adjustRightInd w:val="0"/>
        <w:jc w:val="center"/>
        <w:rPr>
          <w:rFonts w:hint="eastAsia" w:eastAsia="宋体"/>
          <w:b/>
          <w:color w:val="000000"/>
          <w:sz w:val="24"/>
          <w:szCs w:val="24"/>
        </w:rPr>
      </w:pPr>
      <w:r>
        <w:rPr>
          <w:rFonts w:hint="eastAsia" w:ascii="宋体" w:hAnsi="Times New Roman" w:eastAsia="宋体" w:cs="宋体"/>
          <w:color w:val="000000"/>
          <w:spacing w:val="20"/>
          <w:kern w:val="0"/>
          <w:sz w:val="44"/>
          <w:szCs w:val="44"/>
        </w:rPr>
        <w:t>建设项目职业病危害评价信息公开表</w:t>
      </w:r>
    </w:p>
    <w:tbl>
      <w:tblPr>
        <w:tblStyle w:val="9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0"/>
        <w:gridCol w:w="1509"/>
        <w:gridCol w:w="1537"/>
        <w:gridCol w:w="2555"/>
      </w:tblGrid>
      <w:tr w14:paraId="4343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2011" w:type="pct"/>
            <w:noWrap w:val="0"/>
            <w:vAlign w:val="center"/>
          </w:tcPr>
          <w:p w14:paraId="7D44C7B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066C3DA0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名    称：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夏津金固新型建材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有限公司</w:t>
            </w:r>
          </w:p>
          <w:p w14:paraId="24947E25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地理位置：山东省夏津县新盛店镇东菜园村育新路南侧</w:t>
            </w:r>
          </w:p>
          <w:p w14:paraId="0B8002DC">
            <w:pPr>
              <w:spacing w:line="460" w:lineRule="exact"/>
              <w:jc w:val="both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联 系 人：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王彬</w:t>
            </w:r>
          </w:p>
        </w:tc>
      </w:tr>
      <w:tr w14:paraId="1781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011" w:type="pct"/>
            <w:noWrap w:val="0"/>
            <w:vAlign w:val="center"/>
          </w:tcPr>
          <w:p w14:paraId="7C8B498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项目名称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76B5278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/</w:t>
            </w:r>
          </w:p>
        </w:tc>
      </w:tr>
      <w:tr w14:paraId="2BCE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11" w:type="pct"/>
            <w:vMerge w:val="restart"/>
            <w:noWrap w:val="0"/>
            <w:vAlign w:val="center"/>
          </w:tcPr>
          <w:p w14:paraId="1F63215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现场调查、采样、检测的专业技术人员名单</w:t>
            </w:r>
          </w:p>
        </w:tc>
        <w:tc>
          <w:tcPr>
            <w:tcW w:w="805" w:type="pct"/>
            <w:noWrap w:val="0"/>
            <w:vAlign w:val="center"/>
          </w:tcPr>
          <w:p w14:paraId="591C1D0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姓  名</w:t>
            </w:r>
          </w:p>
        </w:tc>
        <w:tc>
          <w:tcPr>
            <w:tcW w:w="820" w:type="pct"/>
            <w:noWrap w:val="0"/>
            <w:vAlign w:val="center"/>
          </w:tcPr>
          <w:p w14:paraId="50F2FD5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技术职务</w:t>
            </w:r>
          </w:p>
        </w:tc>
        <w:tc>
          <w:tcPr>
            <w:tcW w:w="1362" w:type="pct"/>
            <w:noWrap w:val="0"/>
            <w:vAlign w:val="center"/>
          </w:tcPr>
          <w:p w14:paraId="57A0C43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资质证书号</w:t>
            </w:r>
          </w:p>
        </w:tc>
      </w:tr>
      <w:tr w14:paraId="75D4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66D42AB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shd w:val="clear"/>
            <w:noWrap w:val="0"/>
            <w:vAlign w:val="center"/>
          </w:tcPr>
          <w:p w14:paraId="34CD5938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于付锋</w:t>
            </w:r>
          </w:p>
        </w:tc>
        <w:tc>
          <w:tcPr>
            <w:tcW w:w="820" w:type="pct"/>
            <w:shd w:val="clear"/>
            <w:noWrap w:val="0"/>
            <w:vAlign w:val="center"/>
          </w:tcPr>
          <w:p w14:paraId="647AC3EA">
            <w:pPr>
              <w:spacing w:line="49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中级</w:t>
            </w:r>
            <w:r>
              <w:rPr>
                <w:rFonts w:hint="eastAsia" w:eastAsia="仿宋_GB2312"/>
                <w:bCs/>
                <w:sz w:val="28"/>
                <w:szCs w:val="28"/>
              </w:rPr>
              <w:t>工程师</w:t>
            </w:r>
          </w:p>
        </w:tc>
        <w:tc>
          <w:tcPr>
            <w:tcW w:w="1362" w:type="pct"/>
            <w:shd w:val="clear"/>
            <w:noWrap w:val="0"/>
            <w:vAlign w:val="center"/>
          </w:tcPr>
          <w:p w14:paraId="69497A10">
            <w:pPr>
              <w:spacing w:line="49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鲁P20210039</w:t>
            </w:r>
          </w:p>
        </w:tc>
      </w:tr>
      <w:tr w14:paraId="2CD0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5443F89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0936396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李健</w:t>
            </w:r>
          </w:p>
        </w:tc>
        <w:tc>
          <w:tcPr>
            <w:tcW w:w="820" w:type="pct"/>
            <w:noWrap w:val="0"/>
            <w:vAlign w:val="center"/>
          </w:tcPr>
          <w:p w14:paraId="6BC8ECD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助理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2" w:type="pct"/>
            <w:noWrap w:val="0"/>
            <w:vAlign w:val="center"/>
          </w:tcPr>
          <w:p w14:paraId="18AFD249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0655</w:t>
            </w:r>
          </w:p>
        </w:tc>
      </w:tr>
      <w:tr w14:paraId="1997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4307BA0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11A01BB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李庆阳</w:t>
            </w:r>
          </w:p>
        </w:tc>
        <w:tc>
          <w:tcPr>
            <w:tcW w:w="820" w:type="pct"/>
            <w:noWrap w:val="0"/>
            <w:vAlign w:val="center"/>
          </w:tcPr>
          <w:p w14:paraId="646CFEC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助理工程师</w:t>
            </w:r>
          </w:p>
        </w:tc>
        <w:tc>
          <w:tcPr>
            <w:tcW w:w="1362" w:type="pct"/>
            <w:noWrap w:val="0"/>
            <w:vAlign w:val="center"/>
          </w:tcPr>
          <w:p w14:paraId="3EC1B68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鲁P20210657</w:t>
            </w:r>
          </w:p>
        </w:tc>
      </w:tr>
      <w:tr w14:paraId="1750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27BA08B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774220F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高爱民</w:t>
            </w:r>
          </w:p>
        </w:tc>
        <w:tc>
          <w:tcPr>
            <w:tcW w:w="820" w:type="pct"/>
            <w:noWrap w:val="0"/>
            <w:vAlign w:val="center"/>
          </w:tcPr>
          <w:p w14:paraId="00F042D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中级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工程师</w:t>
            </w:r>
          </w:p>
        </w:tc>
        <w:tc>
          <w:tcPr>
            <w:tcW w:w="1362" w:type="pct"/>
            <w:noWrap w:val="0"/>
            <w:vAlign w:val="center"/>
          </w:tcPr>
          <w:p w14:paraId="48DA8F5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鲁P20210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661</w:t>
            </w:r>
          </w:p>
        </w:tc>
      </w:tr>
      <w:tr w14:paraId="26A3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2011" w:type="pct"/>
            <w:vMerge w:val="continue"/>
            <w:noWrap w:val="0"/>
            <w:vAlign w:val="center"/>
          </w:tcPr>
          <w:p w14:paraId="2A0572E0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 w14:paraId="6D307DE9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4"/>
                <w:lang w:val="en-US" w:eastAsia="zh-CN" w:bidi="ar-SA"/>
              </w:rPr>
              <w:t>赵清奇</w:t>
            </w:r>
          </w:p>
        </w:tc>
        <w:tc>
          <w:tcPr>
            <w:tcW w:w="820" w:type="pct"/>
            <w:noWrap w:val="0"/>
            <w:vAlign w:val="center"/>
          </w:tcPr>
          <w:p w14:paraId="58027E02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4"/>
                <w:lang w:val="en-US" w:eastAsia="zh-CN" w:bidi="ar-SA"/>
              </w:rPr>
              <w:t>技术负责人</w:t>
            </w:r>
          </w:p>
        </w:tc>
        <w:tc>
          <w:tcPr>
            <w:tcW w:w="1362" w:type="pct"/>
            <w:noWrap w:val="0"/>
            <w:vAlign w:val="center"/>
          </w:tcPr>
          <w:p w14:paraId="4C6DEAD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鲁P20220088</w:t>
            </w:r>
          </w:p>
        </w:tc>
      </w:tr>
      <w:tr w14:paraId="4936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011" w:type="pct"/>
            <w:noWrap w:val="0"/>
            <w:vAlign w:val="center"/>
          </w:tcPr>
          <w:p w14:paraId="482FEF2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现场调查及采样时间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4EA92AD8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月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日</w:t>
            </w: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-3月21日</w:t>
            </w:r>
          </w:p>
        </w:tc>
      </w:tr>
      <w:tr w14:paraId="2547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011" w:type="pct"/>
            <w:noWrap w:val="0"/>
            <w:vAlign w:val="center"/>
          </w:tcPr>
          <w:p w14:paraId="5566F803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建设单位(用人单位)陪同人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12A6B5F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4"/>
                <w:lang w:val="en-US" w:eastAsia="zh-CN"/>
              </w:rPr>
              <w:t>王彬</w:t>
            </w:r>
          </w:p>
        </w:tc>
      </w:tr>
      <w:tr w14:paraId="2ABA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0" w:hRule="atLeast"/>
          <w:jc w:val="center"/>
        </w:trPr>
        <w:tc>
          <w:tcPr>
            <w:tcW w:w="2011" w:type="pct"/>
            <w:noWrap w:val="0"/>
            <w:vAlign w:val="center"/>
          </w:tcPr>
          <w:p w14:paraId="6A970925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检测结果</w:t>
            </w:r>
          </w:p>
        </w:tc>
        <w:tc>
          <w:tcPr>
            <w:tcW w:w="2988" w:type="pct"/>
            <w:gridSpan w:val="3"/>
            <w:noWrap w:val="0"/>
            <w:vAlign w:val="center"/>
          </w:tcPr>
          <w:p w14:paraId="619A95AE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（1）化学有害因素检测结果评价</w:t>
            </w:r>
          </w:p>
          <w:p w14:paraId="546876F4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经现场检测与实验室分析，本次检测矽尘的短时间接触浓度和时间加权平均浓度均符合《工作场所有害因素职业接触限值 第1部分：化学有害因素》（GBZ2.1-2019）的限值要求。</w:t>
            </w:r>
          </w:p>
          <w:p w14:paraId="6B3728B3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（2）物理因素检测结果评价</w:t>
            </w:r>
          </w:p>
          <w:p w14:paraId="3AF77BA9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经测量，检测点噪声测量40h等效声级均符合《工作场所有害因素职业接触限值 第2部分：物理因素》（GBZ2.2-2007）规定的限值要求。</w:t>
            </w:r>
          </w:p>
          <w:p w14:paraId="0EA8427C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工频电场测量结果符合《工作场所有害因素职业接触限值 第2部分：物理因素》（GBZ 2.2-2007）的要求。</w:t>
            </w:r>
          </w:p>
        </w:tc>
      </w:tr>
      <w:tr w14:paraId="06B3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2011" w:type="pct"/>
            <w:noWrap w:val="0"/>
            <w:vAlign w:val="center"/>
          </w:tcPr>
          <w:p w14:paraId="05ECAF9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  <w:t>评价结论</w:t>
            </w:r>
          </w:p>
        </w:tc>
        <w:tc>
          <w:tcPr>
            <w:tcW w:w="2988" w:type="pct"/>
            <w:gridSpan w:val="3"/>
            <w:noWrap w:val="0"/>
            <w:vAlign w:val="top"/>
          </w:tcPr>
          <w:p w14:paraId="79353C88">
            <w:pPr>
              <w:spacing w:line="460" w:lineRule="exact"/>
              <w:jc w:val="both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8"/>
                <w:szCs w:val="28"/>
              </w:rPr>
              <w:t>根据《国民经济行业分类》（2017版），</w:t>
            </w:r>
            <w:r>
              <w:rPr>
                <w:rFonts w:hint="eastAsia" w:eastAsia="仿宋_GB2312"/>
                <w:snapToGrid w:val="0"/>
                <w:sz w:val="28"/>
                <w:szCs w:val="28"/>
                <w:lang w:eastAsia="zh-CN"/>
              </w:rPr>
              <w:t>夏津金固新型建材有限公司</w:t>
            </w:r>
            <w:r>
              <w:rPr>
                <w:rFonts w:eastAsia="仿宋_GB2312"/>
                <w:snapToGrid w:val="0"/>
                <w:sz w:val="28"/>
                <w:szCs w:val="28"/>
              </w:rPr>
              <w:t>属于</w:t>
            </w:r>
            <w:r>
              <w:rPr>
                <w:rFonts w:hint="eastAsia" w:eastAsia="仿宋_GB2312"/>
                <w:snapToGrid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eastAsia="仿宋_GB2312"/>
                <w:snapToGrid w:val="0"/>
                <w:sz w:val="28"/>
                <w:szCs w:val="28"/>
                <w:lang w:val="en-US" w:eastAsia="zh-CN"/>
              </w:rPr>
              <w:t>非金属矿物制品业</w:t>
            </w:r>
            <w:r>
              <w:rPr>
                <w:rFonts w:hint="eastAsia" w:eastAsia="仿宋_GB2312"/>
                <w:snapToGrid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eastAsia="仿宋_GB2312"/>
                <w:snapToGrid w:val="0"/>
                <w:sz w:val="28"/>
                <w:szCs w:val="28"/>
                <w:lang w:val="en-US" w:eastAsia="zh-CN"/>
              </w:rPr>
              <w:t>的“石膏、水泥制品及其类似制品制造”</w:t>
            </w:r>
            <w:r>
              <w:rPr>
                <w:rFonts w:eastAsia="仿宋_GB2312"/>
                <w:snapToGrid w:val="0"/>
                <w:sz w:val="28"/>
                <w:szCs w:val="28"/>
              </w:rPr>
              <w:t>，根据《建设职业病危害风险分类管理目录》（2021年版）（国卫办职健发[2021]5号）规定，综合考虑企业发生职业病的风险，判定企业职业病危害类别为“职业病危害</w:t>
            </w:r>
            <w:r>
              <w:rPr>
                <w:rFonts w:hint="eastAsia" w:eastAsia="仿宋_GB2312"/>
                <w:snapToGrid w:val="0"/>
                <w:sz w:val="28"/>
                <w:szCs w:val="28"/>
                <w:lang w:val="en-US" w:eastAsia="zh-CN"/>
              </w:rPr>
              <w:t>严重</w:t>
            </w:r>
            <w:r>
              <w:rPr>
                <w:rFonts w:eastAsia="仿宋_GB2312"/>
                <w:snapToGrid w:val="0"/>
                <w:sz w:val="28"/>
                <w:szCs w:val="28"/>
              </w:rPr>
              <w:t>”的建设</w:t>
            </w:r>
            <w:r>
              <w:rPr>
                <w:rFonts w:hint="eastAsia" w:eastAsia="仿宋_GB2312"/>
                <w:snapToGrid w:val="0"/>
                <w:sz w:val="28"/>
                <w:szCs w:val="28"/>
                <w:lang w:eastAsia="zh-CN"/>
              </w:rPr>
              <w:t>项目</w:t>
            </w:r>
            <w:r>
              <w:rPr>
                <w:rFonts w:eastAsia="仿宋_GB2312"/>
                <w:snapToGrid w:val="0"/>
                <w:sz w:val="28"/>
                <w:szCs w:val="28"/>
              </w:rPr>
              <w:t>。</w:t>
            </w:r>
          </w:p>
          <w:tbl>
            <w:tblPr>
              <w:tblStyle w:val="9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3"/>
              <w:gridCol w:w="737"/>
              <w:gridCol w:w="3009"/>
            </w:tblGrid>
            <w:tr w14:paraId="1FC124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2" w:hRule="atLeast"/>
                <w:tblHeader/>
              </w:trPr>
              <w:tc>
                <w:tcPr>
                  <w:tcW w:w="1642" w:type="pct"/>
                  <w:vAlign w:val="center"/>
                </w:tcPr>
                <w:p w14:paraId="6CAAC5CE">
                  <w:pP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660" w:type="pct"/>
                  <w:vAlign w:val="center"/>
                </w:tcPr>
                <w:p w14:paraId="0F146861">
                  <w:pP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判断</w:t>
                  </w:r>
                </w:p>
              </w:tc>
              <w:tc>
                <w:tcPr>
                  <w:tcW w:w="2696" w:type="pct"/>
                  <w:vAlign w:val="center"/>
                </w:tcPr>
                <w:p w14:paraId="03CBF683">
                  <w:pP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存在问题简要说明</w:t>
                  </w:r>
                </w:p>
              </w:tc>
            </w:tr>
            <w:tr w14:paraId="2CE27F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23C2A524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Toc24991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1.总体布局</w:t>
                  </w:r>
                  <w:bookmarkEnd w:id="0"/>
                </w:p>
              </w:tc>
              <w:tc>
                <w:tcPr>
                  <w:tcW w:w="660" w:type="pct"/>
                  <w:vAlign w:val="center"/>
                </w:tcPr>
                <w:p w14:paraId="119DE1F7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2BFB095B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非生产区未布置在全年最小频率风向的下风向</w:t>
                  </w:r>
                </w:p>
              </w:tc>
            </w:tr>
            <w:tr w14:paraId="08A212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7A89310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" w:name="_Toc7714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2.设备布局</w:t>
                  </w:r>
                  <w:bookmarkEnd w:id="1"/>
                </w:p>
              </w:tc>
              <w:tc>
                <w:tcPr>
                  <w:tcW w:w="660" w:type="pct"/>
                  <w:vAlign w:val="center"/>
                </w:tcPr>
                <w:p w14:paraId="35FDB45A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0498D77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5A0AD6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5E32CE3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2" w:name="_Toc24154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3.建筑卫生学</w:t>
                  </w:r>
                  <w:bookmarkEnd w:id="2"/>
                </w:p>
              </w:tc>
              <w:tc>
                <w:tcPr>
                  <w:tcW w:w="660" w:type="pct"/>
                  <w:vAlign w:val="center"/>
                </w:tcPr>
                <w:p w14:paraId="23FB48F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43D64EA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748125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3F8595C9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3" w:name="_Toc23517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4.职业病危害因素</w:t>
                  </w:r>
                  <w:bookmarkEnd w:id="3"/>
                </w:p>
              </w:tc>
              <w:tc>
                <w:tcPr>
                  <w:tcW w:w="660" w:type="pct"/>
                  <w:vAlign w:val="center"/>
                </w:tcPr>
                <w:p w14:paraId="3BB3EA6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4FFCD7FC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3CD603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49193EF7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4" w:name="_Toc2685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5.职业病防护设施</w:t>
                  </w:r>
                  <w:bookmarkEnd w:id="4"/>
                </w:p>
              </w:tc>
              <w:tc>
                <w:tcPr>
                  <w:tcW w:w="660" w:type="pct"/>
                  <w:vAlign w:val="center"/>
                </w:tcPr>
                <w:p w14:paraId="48A407E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57F3A556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337A65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2CBD8205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5" w:name="_Toc9232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6.应急救援设施</w:t>
                  </w:r>
                  <w:bookmarkEnd w:id="5"/>
                </w:p>
              </w:tc>
              <w:tc>
                <w:tcPr>
                  <w:tcW w:w="660" w:type="pct"/>
                  <w:vAlign w:val="center"/>
                </w:tcPr>
                <w:p w14:paraId="1DC8FB5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部分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24B49D69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未与附近有应急救援能力的医院签订应急救援协议</w:t>
                  </w:r>
                </w:p>
              </w:tc>
            </w:tr>
            <w:tr w14:paraId="6943AA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7719FCC9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6" w:name="_Toc22065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7.职业健康监护</w:t>
                  </w:r>
                  <w:bookmarkEnd w:id="6"/>
                </w:p>
              </w:tc>
              <w:tc>
                <w:tcPr>
                  <w:tcW w:w="660" w:type="pct"/>
                  <w:vAlign w:val="center"/>
                </w:tcPr>
                <w:p w14:paraId="462B2D5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337D6C47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未进行职业健康检查</w:t>
                  </w:r>
                </w:p>
              </w:tc>
            </w:tr>
            <w:tr w14:paraId="7BD847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434AE5A0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7" w:name="_Toc13744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8.个人防护用品</w:t>
                  </w:r>
                  <w:bookmarkEnd w:id="7"/>
                </w:p>
              </w:tc>
              <w:tc>
                <w:tcPr>
                  <w:tcW w:w="660" w:type="pct"/>
                  <w:vAlign w:val="center"/>
                </w:tcPr>
                <w:p w14:paraId="3801CA3A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610451A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63DB75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0E35A755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8" w:name="_Toc7741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9.辅助用室</w:t>
                  </w:r>
                  <w:bookmarkEnd w:id="8"/>
                </w:p>
              </w:tc>
              <w:tc>
                <w:tcPr>
                  <w:tcW w:w="660" w:type="pct"/>
                  <w:vAlign w:val="center"/>
                </w:tcPr>
                <w:p w14:paraId="024538F9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53D98295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3955E6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36AE898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9" w:name="_Toc21866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10.职业卫生管理组织机构</w:t>
                  </w:r>
                  <w:bookmarkEnd w:id="9"/>
                </w:p>
              </w:tc>
              <w:tc>
                <w:tcPr>
                  <w:tcW w:w="660" w:type="pct"/>
                  <w:vAlign w:val="center"/>
                </w:tcPr>
                <w:p w14:paraId="7FD7612E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6EB2B659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E6A76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0E745BB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0" w:name="_Toc2963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11.职业卫生管理制度</w:t>
                  </w:r>
                  <w:bookmarkEnd w:id="10"/>
                </w:p>
              </w:tc>
              <w:tc>
                <w:tcPr>
                  <w:tcW w:w="660" w:type="pct"/>
                  <w:vAlign w:val="center"/>
                </w:tcPr>
                <w:p w14:paraId="09368D3B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部分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23A23257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职业卫生管理制度还需根据实际进行进一步完善；未列明职业病防治经费明细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</w:p>
              </w:tc>
            </w:tr>
            <w:tr w14:paraId="1A36E0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48E2125D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1" w:name="_Toc2940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12.职业病危害告知</w:t>
                  </w:r>
                  <w:bookmarkEnd w:id="11"/>
                </w:p>
              </w:tc>
              <w:tc>
                <w:tcPr>
                  <w:tcW w:w="660" w:type="pct"/>
                  <w:vAlign w:val="center"/>
                </w:tcPr>
                <w:p w14:paraId="4C7C22EA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部分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32735CF4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未设置公告栏，现场设置警示标识及中文警示说明数量较少。</w:t>
                  </w:r>
                </w:p>
              </w:tc>
            </w:tr>
            <w:tr w14:paraId="1F118A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70497AEF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2" w:name="_Toc17477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13.职业卫生培训</w:t>
                  </w:r>
                  <w:bookmarkEnd w:id="12"/>
                </w:p>
              </w:tc>
              <w:tc>
                <w:tcPr>
                  <w:tcW w:w="660" w:type="pct"/>
                  <w:vAlign w:val="center"/>
                </w:tcPr>
                <w:p w14:paraId="6902C62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4E1D47D2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/</w:t>
                  </w:r>
                </w:p>
              </w:tc>
            </w:tr>
            <w:tr w14:paraId="23DF65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5F9FA2A4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3" w:name="_Toc20816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14.职业病危害申报</w:t>
                  </w:r>
                  <w:bookmarkEnd w:id="13"/>
                </w:p>
              </w:tc>
              <w:tc>
                <w:tcPr>
                  <w:tcW w:w="660" w:type="pct"/>
                  <w:vAlign w:val="center"/>
                </w:tcPr>
                <w:p w14:paraId="19F3F208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</w:t>
                  </w:r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42CC22DC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未进行职业病危害因素申报</w:t>
                  </w:r>
                </w:p>
              </w:tc>
            </w:tr>
            <w:tr w14:paraId="4A5616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1642" w:type="pct"/>
                  <w:vAlign w:val="center"/>
                </w:tcPr>
                <w:p w14:paraId="0EC05D95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14" w:name="_Toc8493"/>
                  <w: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15.既往职业卫生评价建议落实情况</w:t>
                  </w:r>
                  <w:bookmarkEnd w:id="14"/>
                </w:p>
              </w:tc>
              <w:tc>
                <w:tcPr>
                  <w:tcW w:w="660" w:type="pct"/>
                  <w:vAlign w:val="center"/>
                </w:tcPr>
                <w:p w14:paraId="1950CC0A">
                  <w:pPr>
                    <w:rPr>
                      <w:rFonts w:hint="default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部分符合</w:t>
                  </w:r>
                </w:p>
              </w:tc>
              <w:tc>
                <w:tcPr>
                  <w:tcW w:w="2696" w:type="pct"/>
                  <w:vAlign w:val="center"/>
                </w:tcPr>
                <w:p w14:paraId="2098530B">
                  <w:pPr>
                    <w:rPr>
                      <w:rFonts w:hint="eastAsia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用人单位针对</w:t>
                  </w:r>
                  <w:r>
                    <w:rPr>
                      <w:rFonts w:hint="eastAsia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部分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问题进行了整改，但仍存在问题</w:t>
                  </w:r>
                </w:p>
              </w:tc>
            </w:tr>
          </w:tbl>
          <w:p w14:paraId="77A140B7">
            <w:pPr>
              <w:spacing w:line="460" w:lineRule="exact"/>
              <w:jc w:val="both"/>
              <w:rPr>
                <w:rFonts w:hint="eastAsia" w:ascii="Times New Roman" w:hAnsi="Times New Roman" w:eastAsia="宋体" w:cs="Times New Roman"/>
                <w:sz w:val="28"/>
                <w:szCs w:val="24"/>
                <w:lang w:val="en-US" w:eastAsia="zh-CN"/>
              </w:rPr>
            </w:pPr>
          </w:p>
        </w:tc>
      </w:tr>
    </w:tbl>
    <w:p w14:paraId="1A22EBB1">
      <w:pPr>
        <w:rPr>
          <w:rFonts w:hint="eastAsia" w:eastAsia="宋体"/>
        </w:rPr>
      </w:pPr>
    </w:p>
    <w:p w14:paraId="77974AB8">
      <w:pPr>
        <w:spacing w:line="460" w:lineRule="exact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6E203F56">
      <w:pPr>
        <w:spacing w:line="460" w:lineRule="exact"/>
        <w:jc w:val="both"/>
        <w:rPr>
          <w:rFonts w:hint="eastAsia" w:ascii="Times New Roman" w:hAnsi="Times New Roman" w:eastAsia="仿宋_GB2312" w:cs="Times New Roman"/>
          <w:sz w:val="28"/>
          <w:szCs w:val="28"/>
        </w:rPr>
      </w:pPr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AE1DA">
    <w:pPr>
      <w:pStyle w:val="5"/>
      <w:ind w:firstLine="1960" w:firstLineChars="70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          第   页   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67C9E">
    <w:pPr>
      <w:pStyle w:val="6"/>
      <w:jc w:val="both"/>
      <w:rPr>
        <w:rFonts w:ascii="宋体" w:hAnsi="宋体" w:cs="宋体"/>
        <w:sz w:val="24"/>
      </w:rPr>
    </w:pPr>
  </w:p>
  <w:p w14:paraId="174998F6">
    <w:pPr>
      <w:pStyle w:val="6"/>
      <w:jc w:val="both"/>
      <w:rPr>
        <w:rFonts w:hint="eastAsia" w:ascii="Arial" w:hAnsi="Arial" w:eastAsia="宋体" w:cs="Arial"/>
        <w:sz w:val="24"/>
        <w:szCs w:val="24"/>
        <w:lang w:eastAsia="zh-CN"/>
      </w:rPr>
    </w:pPr>
    <w:r>
      <w:rPr>
        <w:rFonts w:ascii="Arial" w:hAnsi="Arial" w:cs="Arial"/>
        <w:sz w:val="24"/>
        <w:szCs w:val="24"/>
      </w:rPr>
      <w:t>JM/JLB-ZWJ-0</w:t>
    </w:r>
    <w:r>
      <w:rPr>
        <w:rFonts w:hint="eastAsia" w:ascii="Arial" w:hAnsi="Arial" w:eastAsia="宋体" w:cs="Arial"/>
        <w:sz w:val="24"/>
        <w:szCs w:val="24"/>
        <w:lang w:val="en-US" w:eastAsia="zh-CN"/>
      </w:rPr>
      <w:t>48</w:t>
    </w:r>
    <w:r>
      <w:rPr>
        <w:rFonts w:ascii="Arial" w:hAnsi="Arial" w:eastAsia="宋体" w:cs="Arial"/>
        <w:sz w:val="24"/>
        <w:szCs w:val="24"/>
      </w:rPr>
      <w:t xml:space="preserve">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 xml:space="preserve">     </w:t>
    </w:r>
    <w:r>
      <w:rPr>
        <w:rFonts w:ascii="Arial" w:hAnsi="Arial" w:eastAsia="宋体" w:cs="Arial"/>
        <w:sz w:val="24"/>
        <w:szCs w:val="24"/>
      </w:rPr>
      <w:t xml:space="preserve">                 </w:t>
    </w:r>
    <w:r>
      <w:rPr>
        <w:rFonts w:hint="eastAsia" w:ascii="Arial" w:hAnsi="Arial" w:eastAsia="宋体" w:cs="Arial"/>
        <w:sz w:val="24"/>
        <w:szCs w:val="24"/>
        <w:lang w:val="en-US" w:eastAsia="zh-CN"/>
      </w:rPr>
      <w:t>山东锦铭检测技术有限公司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60642"/>
    <w:multiLevelType w:val="multilevel"/>
    <w:tmpl w:val="6DC60642"/>
    <w:lvl w:ilvl="0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hint="eastAsia" w:ascii="宋体" w:eastAsia="宋体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eastAsia="宋体"/>
        <w:b/>
        <w:i w:val="0"/>
        <w:spacing w:val="0"/>
        <w:w w:val="100"/>
        <w:kern w:val="30"/>
        <w:position w:val="0"/>
        <w:sz w:val="30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 w:ascii="宋体" w:eastAsia="宋体"/>
        <w:b/>
        <w:i w:val="0"/>
        <w:spacing w:val="-20"/>
        <w:w w:val="100"/>
        <w:kern w:val="28"/>
        <w:position w:val="0"/>
        <w:sz w:val="28"/>
      </w:rPr>
    </w:lvl>
    <w:lvl w:ilvl="3" w:tentative="0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0">
      <w:start w:val="1"/>
      <w:numFmt w:val="decimal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0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NWU4OThlYmQ5ZmQ3NjI4YTAyNGQyNTU4NjFhZDUifQ=="/>
  </w:docVars>
  <w:rsids>
    <w:rsidRoot w:val="238414D8"/>
    <w:rsid w:val="00036032"/>
    <w:rsid w:val="00365DBC"/>
    <w:rsid w:val="004607F8"/>
    <w:rsid w:val="0049127D"/>
    <w:rsid w:val="007C5EAB"/>
    <w:rsid w:val="00910B32"/>
    <w:rsid w:val="00E62C1D"/>
    <w:rsid w:val="030778A3"/>
    <w:rsid w:val="032254D7"/>
    <w:rsid w:val="05A36B25"/>
    <w:rsid w:val="0A3467B2"/>
    <w:rsid w:val="0B1D7CBA"/>
    <w:rsid w:val="11C97945"/>
    <w:rsid w:val="12931FD0"/>
    <w:rsid w:val="12E82859"/>
    <w:rsid w:val="14122E44"/>
    <w:rsid w:val="238414D8"/>
    <w:rsid w:val="25CF3E5F"/>
    <w:rsid w:val="384E6106"/>
    <w:rsid w:val="3CEF55B9"/>
    <w:rsid w:val="4624125B"/>
    <w:rsid w:val="485C799C"/>
    <w:rsid w:val="4A366299"/>
    <w:rsid w:val="4B311F6B"/>
    <w:rsid w:val="4B721FB1"/>
    <w:rsid w:val="4F644642"/>
    <w:rsid w:val="50FA6609"/>
    <w:rsid w:val="56E6420A"/>
    <w:rsid w:val="5F1E3BAF"/>
    <w:rsid w:val="66AF0243"/>
    <w:rsid w:val="6C4A5B20"/>
    <w:rsid w:val="736039B9"/>
    <w:rsid w:val="7B20218F"/>
    <w:rsid w:val="7D3C2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hAnsi="Times New Roman" w:eastAsia="仿宋_GB2312" w:cs="Times New Roman"/>
      <w:b/>
      <w:spacing w:val="20"/>
      <w:kern w:val="28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00" w:lineRule="exact"/>
      <w:ind w:firstLine="200" w:firstLineChars="200"/>
    </w:pPr>
    <w:rPr>
      <w:kern w:val="24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"/>
      <w:snapToGrid/>
      <w:sz w:val="22"/>
      <w:szCs w:val="22"/>
    </w:rPr>
  </w:style>
  <w:style w:type="character" w:customStyle="1" w:styleId="11">
    <w:name w:val="页脚 Char"/>
    <w:link w:val="5"/>
    <w:qFormat/>
    <w:uiPriority w:val="0"/>
    <w:rPr>
      <w:rFonts w:eastAsia="MS Gothic"/>
      <w:kern w:val="2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eastAsia="MS Gothic"/>
      <w:kern w:val="2"/>
      <w:sz w:val="18"/>
      <w:szCs w:val="18"/>
    </w:rPr>
  </w:style>
  <w:style w:type="character" w:customStyle="1" w:styleId="13">
    <w:name w:val="目录1 Char Char"/>
    <w:link w:val="14"/>
    <w:qFormat/>
    <w:uiPriority w:val="0"/>
    <w:rPr>
      <w:rFonts w:ascii="仿宋_GB2312"/>
      <w:b/>
      <w:snapToGrid/>
      <w:color w:val="000000"/>
      <w:sz w:val="32"/>
      <w:szCs w:val="32"/>
    </w:rPr>
  </w:style>
  <w:style w:type="paragraph" w:customStyle="1" w:styleId="14">
    <w:name w:val="目录1"/>
    <w:basedOn w:val="1"/>
    <w:link w:val="13"/>
    <w:qFormat/>
    <w:uiPriority w:val="0"/>
    <w:pPr>
      <w:spacing w:after="156" w:afterLines="50"/>
      <w:jc w:val="center"/>
      <w:outlineLvl w:val="0"/>
    </w:pPr>
    <w:rPr>
      <w:rFonts w:ascii="仿宋_GB2312"/>
      <w:b/>
      <w:snapToGrid/>
      <w:color w:val="000000"/>
      <w:sz w:val="32"/>
      <w:szCs w:val="32"/>
    </w:rPr>
  </w:style>
  <w:style w:type="paragraph" w:customStyle="1" w:styleId="15">
    <w:name w:val="ebaihe"/>
    <w:basedOn w:val="1"/>
    <w:qFormat/>
    <w:uiPriority w:val="0"/>
    <w:pPr>
      <w:spacing w:line="500" w:lineRule="exact"/>
      <w:ind w:firstLine="200" w:firstLineChars="200"/>
    </w:pPr>
    <w:rPr>
      <w:snapToGrid/>
      <w:sz w:val="28"/>
      <w:szCs w:val="20"/>
    </w:rPr>
  </w:style>
  <w:style w:type="paragraph" w:customStyle="1" w:styleId="16">
    <w:name w:val="报告标题2"/>
    <w:basedOn w:val="1"/>
    <w:qFormat/>
    <w:uiPriority w:val="0"/>
    <w:pPr>
      <w:spacing w:line="490" w:lineRule="exact"/>
      <w:outlineLvl w:val="1"/>
    </w:pPr>
    <w:rPr>
      <w:rFonts w:ascii="仿宋_GB2312"/>
      <w:b/>
      <w:bCs/>
      <w:snapToGrid/>
      <w:kern w:val="2"/>
      <w:sz w:val="28"/>
      <w:szCs w:val="30"/>
    </w:rPr>
  </w:style>
  <w:style w:type="paragraph" w:customStyle="1" w:styleId="17">
    <w:name w:val="正文 + 仿宋_GB2312"/>
    <w:basedOn w:val="1"/>
    <w:qFormat/>
    <w:uiPriority w:val="0"/>
    <w:pPr>
      <w:tabs>
        <w:tab w:val="left" w:pos="2020"/>
      </w:tabs>
      <w:adjustRightInd w:val="0"/>
      <w:snapToGrid w:val="0"/>
      <w:spacing w:line="300" w:lineRule="auto"/>
    </w:pPr>
    <w:rPr>
      <w:rFonts w:ascii="仿宋_GB2312"/>
      <w:snapToGrid/>
      <w:kern w:val="2"/>
      <w:sz w:val="28"/>
      <w:szCs w:val="24"/>
    </w:rPr>
  </w:style>
  <w:style w:type="paragraph" w:customStyle="1" w:styleId="18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jc w:val="left"/>
      <w:textAlignment w:val="baseline"/>
    </w:pPr>
    <w:rPr>
      <w:rFonts w:ascii="Times New Roman" w:hAnsi="Times New Roman" w:cs="宋体"/>
      <w:sz w:val="24"/>
      <w:szCs w:val="20"/>
    </w:rPr>
  </w:style>
  <w:style w:type="paragraph" w:customStyle="1" w:styleId="19">
    <w:name w:val="报告书正文"/>
    <w:basedOn w:val="1"/>
    <w:qFormat/>
    <w:uiPriority w:val="0"/>
    <w:pPr>
      <w:spacing w:line="460" w:lineRule="exact"/>
      <w:ind w:firstLine="556"/>
    </w:pPr>
    <w:rPr>
      <w:rFonts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967</Words>
  <Characters>1096</Characters>
  <Lines>4</Lines>
  <Paragraphs>1</Paragraphs>
  <TotalTime>0</TotalTime>
  <ScaleCrop>false</ScaleCrop>
  <LinksUpToDate>false</LinksUpToDate>
  <CharactersWithSpaces>1107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2016-03-22T00:25:00Z</dcterms:created>
  <dc:creator>Administrator</dc:creator>
  <cp:lastModifiedBy>李健</cp:lastModifiedBy>
  <cp:lastPrinted>2018-05-08T03:16:00Z</cp:lastPrinted>
  <dcterms:modified xsi:type="dcterms:W3CDTF">2024-09-11T08:12:06Z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68284BAD31EF45F5A2C57B0C2348454F_13</vt:lpwstr>
  </property>
</Properties>
</file>