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4C065A79">
      <w:pPr>
        <w:autoSpaceDE w:val="0"/>
        <w:autoSpaceDN w:val="0"/>
        <w:adjustRightInd w:val="0"/>
        <w:jc w:val="center"/>
        <w:rPr>
          <w:rFonts w:hint="eastAsia" w:eastAsia="宋体"/>
          <w:b/>
          <w:color w:val="000000"/>
          <w:sz w:val="24"/>
          <w:szCs w:val="24"/>
        </w:rPr>
      </w:pPr>
      <w:r>
        <w:rPr>
          <w:rFonts w:hint="eastAsia" w:ascii="宋体" w:hAnsi="Times New Roman" w:eastAsia="宋体" w:cs="宋体"/>
          <w:color w:val="000000"/>
          <w:spacing w:val="20"/>
          <w:kern w:val="0"/>
          <w:sz w:val="44"/>
          <w:szCs w:val="44"/>
        </w:rPr>
        <w:t>职业病危害</w:t>
      </w:r>
      <w:r>
        <w:rPr>
          <w:rFonts w:hint="eastAsia" w:ascii="宋体" w:hAnsi="Times New Roman" w:eastAsia="宋体" w:cs="宋体"/>
          <w:color w:val="000000"/>
          <w:spacing w:val="20"/>
          <w:kern w:val="0"/>
          <w:sz w:val="44"/>
          <w:szCs w:val="44"/>
          <w:lang w:val="en-US" w:eastAsia="zh-CN"/>
        </w:rPr>
        <w:t>因素检测</w:t>
      </w:r>
      <w:r>
        <w:rPr>
          <w:rFonts w:hint="eastAsia" w:ascii="宋体" w:hAnsi="Times New Roman" w:eastAsia="宋体" w:cs="宋体"/>
          <w:color w:val="000000"/>
          <w:spacing w:val="20"/>
          <w:kern w:val="0"/>
          <w:sz w:val="44"/>
          <w:szCs w:val="44"/>
        </w:rPr>
        <w:t>信息公开表</w:t>
      </w:r>
    </w:p>
    <w:tbl>
      <w:tblPr>
        <w:tblStyle w:val="9"/>
        <w:tblW w:w="5054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780"/>
        <w:gridCol w:w="1515"/>
        <w:gridCol w:w="1543"/>
        <w:gridCol w:w="2571"/>
      </w:tblGrid>
      <w:tr w14:paraId="124979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6" w:hRule="atLeast"/>
          <w:jc w:val="center"/>
        </w:trPr>
        <w:tc>
          <w:tcPr>
            <w:tcW w:w="2009" w:type="pct"/>
            <w:noWrap w:val="0"/>
            <w:vAlign w:val="center"/>
          </w:tcPr>
          <w:p w14:paraId="7173E399">
            <w:pPr>
              <w:spacing w:line="460" w:lineRule="exact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t>用人单位</w:t>
            </w:r>
          </w:p>
        </w:tc>
        <w:tc>
          <w:tcPr>
            <w:tcW w:w="2990" w:type="pct"/>
            <w:gridSpan w:val="3"/>
            <w:noWrap w:val="0"/>
            <w:vAlign w:val="center"/>
          </w:tcPr>
          <w:p w14:paraId="223EEA7E">
            <w:pPr>
              <w:spacing w:line="460" w:lineRule="exact"/>
              <w:jc w:val="left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t>名    称：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德州新动能铁塔发电有限公司</w:t>
            </w: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t xml:space="preserve"> </w:t>
            </w:r>
          </w:p>
          <w:p w14:paraId="5E40CD1D">
            <w:pPr>
              <w:spacing w:line="460" w:lineRule="exact"/>
              <w:jc w:val="left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t>地理位置：</w:t>
            </w:r>
            <w:r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  <w:t>山东省德州市武城县城区振华街南、赵庄沟东</w:t>
            </w:r>
          </w:p>
          <w:p w14:paraId="0B00AD06">
            <w:pPr>
              <w:spacing w:line="460" w:lineRule="exact"/>
              <w:jc w:val="left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t>联 系 人：</w:t>
            </w:r>
            <w:r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  <w:t>田宝亮</w:t>
            </w:r>
          </w:p>
        </w:tc>
      </w:tr>
      <w:tr w14:paraId="1DAF80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  <w:jc w:val="center"/>
        </w:trPr>
        <w:tc>
          <w:tcPr>
            <w:tcW w:w="2009" w:type="pct"/>
            <w:vMerge w:val="restart"/>
            <w:noWrap w:val="0"/>
            <w:vAlign w:val="center"/>
          </w:tcPr>
          <w:p w14:paraId="78E2AFF1">
            <w:pPr>
              <w:spacing w:line="460" w:lineRule="exact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t>现场调查、采样、检测的专业技术人员名单</w:t>
            </w:r>
          </w:p>
        </w:tc>
        <w:tc>
          <w:tcPr>
            <w:tcW w:w="805" w:type="pct"/>
            <w:noWrap w:val="0"/>
            <w:vAlign w:val="center"/>
          </w:tcPr>
          <w:p w14:paraId="0C7E2325">
            <w:pPr>
              <w:spacing w:line="460" w:lineRule="exact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t>姓  名</w:t>
            </w:r>
          </w:p>
        </w:tc>
        <w:tc>
          <w:tcPr>
            <w:tcW w:w="820" w:type="pct"/>
            <w:noWrap w:val="0"/>
            <w:vAlign w:val="center"/>
          </w:tcPr>
          <w:p w14:paraId="3AA8DA32">
            <w:pPr>
              <w:spacing w:line="460" w:lineRule="exact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t>技术职务</w:t>
            </w:r>
          </w:p>
        </w:tc>
        <w:tc>
          <w:tcPr>
            <w:tcW w:w="1364" w:type="pct"/>
            <w:noWrap w:val="0"/>
            <w:vAlign w:val="center"/>
          </w:tcPr>
          <w:p w14:paraId="108CA13B">
            <w:pPr>
              <w:spacing w:line="460" w:lineRule="exact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t>资质证书号</w:t>
            </w:r>
          </w:p>
        </w:tc>
      </w:tr>
      <w:tr w14:paraId="7F43D7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" w:hRule="atLeast"/>
          <w:jc w:val="center"/>
        </w:trPr>
        <w:tc>
          <w:tcPr>
            <w:tcW w:w="2009" w:type="pct"/>
            <w:vMerge w:val="continue"/>
            <w:noWrap w:val="0"/>
            <w:vAlign w:val="center"/>
          </w:tcPr>
          <w:p w14:paraId="5791FC73">
            <w:pPr>
              <w:spacing w:line="460" w:lineRule="exact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805" w:type="pct"/>
            <w:noWrap w:val="0"/>
            <w:vAlign w:val="center"/>
          </w:tcPr>
          <w:p w14:paraId="405E0B77">
            <w:pPr>
              <w:spacing w:line="460" w:lineRule="exact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t>于付锋</w:t>
            </w:r>
          </w:p>
        </w:tc>
        <w:tc>
          <w:tcPr>
            <w:tcW w:w="820" w:type="pct"/>
            <w:noWrap w:val="0"/>
            <w:vAlign w:val="center"/>
          </w:tcPr>
          <w:p w14:paraId="61AC0A43">
            <w:pPr>
              <w:spacing w:line="460" w:lineRule="exact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t>中级工程师</w:t>
            </w:r>
          </w:p>
        </w:tc>
        <w:tc>
          <w:tcPr>
            <w:tcW w:w="1364" w:type="pct"/>
            <w:noWrap w:val="0"/>
            <w:vAlign w:val="center"/>
          </w:tcPr>
          <w:p w14:paraId="17F64A1A">
            <w:pPr>
              <w:spacing w:line="460" w:lineRule="exact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t>鲁P20210039</w:t>
            </w:r>
          </w:p>
        </w:tc>
      </w:tr>
      <w:tr w14:paraId="41930A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" w:hRule="atLeast"/>
          <w:jc w:val="center"/>
        </w:trPr>
        <w:tc>
          <w:tcPr>
            <w:tcW w:w="2009" w:type="pct"/>
            <w:vMerge w:val="continue"/>
            <w:noWrap w:val="0"/>
            <w:vAlign w:val="center"/>
          </w:tcPr>
          <w:p w14:paraId="0155B8CD">
            <w:pPr>
              <w:spacing w:line="460" w:lineRule="exact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805" w:type="pct"/>
            <w:noWrap w:val="0"/>
            <w:vAlign w:val="center"/>
          </w:tcPr>
          <w:p w14:paraId="2D76655D">
            <w:pPr>
              <w:spacing w:line="460" w:lineRule="exact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t>李健</w:t>
            </w:r>
          </w:p>
        </w:tc>
        <w:tc>
          <w:tcPr>
            <w:tcW w:w="820" w:type="pct"/>
            <w:noWrap w:val="0"/>
            <w:vAlign w:val="center"/>
          </w:tcPr>
          <w:p w14:paraId="0EA6636E">
            <w:pPr>
              <w:spacing w:line="460" w:lineRule="exact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t>助理工程师</w:t>
            </w:r>
          </w:p>
        </w:tc>
        <w:tc>
          <w:tcPr>
            <w:tcW w:w="1364" w:type="pct"/>
            <w:noWrap w:val="0"/>
            <w:vAlign w:val="center"/>
          </w:tcPr>
          <w:p w14:paraId="113537AB">
            <w:pPr>
              <w:spacing w:line="460" w:lineRule="exact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t>鲁P20210655</w:t>
            </w:r>
          </w:p>
        </w:tc>
      </w:tr>
      <w:tr w14:paraId="5EA131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" w:hRule="atLeast"/>
          <w:jc w:val="center"/>
        </w:trPr>
        <w:tc>
          <w:tcPr>
            <w:tcW w:w="2009" w:type="pct"/>
            <w:vMerge w:val="continue"/>
            <w:noWrap w:val="0"/>
            <w:vAlign w:val="center"/>
          </w:tcPr>
          <w:p w14:paraId="204DE0D5">
            <w:pPr>
              <w:spacing w:line="460" w:lineRule="exact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805" w:type="pct"/>
            <w:noWrap w:val="0"/>
            <w:vAlign w:val="center"/>
          </w:tcPr>
          <w:p w14:paraId="23585AB5">
            <w:pPr>
              <w:spacing w:line="460" w:lineRule="exact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t>高群</w:t>
            </w:r>
          </w:p>
        </w:tc>
        <w:tc>
          <w:tcPr>
            <w:tcW w:w="820" w:type="pct"/>
            <w:noWrap w:val="0"/>
            <w:vAlign w:val="center"/>
          </w:tcPr>
          <w:p w14:paraId="00167BF5">
            <w:pPr>
              <w:spacing w:line="460" w:lineRule="exact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t>中级工程师</w:t>
            </w:r>
          </w:p>
        </w:tc>
        <w:tc>
          <w:tcPr>
            <w:tcW w:w="1364" w:type="pct"/>
            <w:noWrap w:val="0"/>
            <w:vAlign w:val="center"/>
          </w:tcPr>
          <w:p w14:paraId="67B4BB18">
            <w:pPr>
              <w:spacing w:line="460" w:lineRule="exact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t>鲁J20220073</w:t>
            </w:r>
          </w:p>
        </w:tc>
      </w:tr>
      <w:tr w14:paraId="5241B1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" w:hRule="atLeast"/>
          <w:jc w:val="center"/>
        </w:trPr>
        <w:tc>
          <w:tcPr>
            <w:tcW w:w="2009" w:type="pct"/>
            <w:vMerge w:val="continue"/>
            <w:noWrap w:val="0"/>
            <w:vAlign w:val="center"/>
          </w:tcPr>
          <w:p w14:paraId="6793A63F">
            <w:pPr>
              <w:spacing w:line="460" w:lineRule="exact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805" w:type="pct"/>
            <w:noWrap w:val="0"/>
            <w:vAlign w:val="center"/>
          </w:tcPr>
          <w:p w14:paraId="138E3392">
            <w:pPr>
              <w:spacing w:line="460" w:lineRule="exact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t>任芳芳</w:t>
            </w:r>
          </w:p>
        </w:tc>
        <w:tc>
          <w:tcPr>
            <w:tcW w:w="820" w:type="pct"/>
            <w:noWrap w:val="0"/>
            <w:vAlign w:val="center"/>
          </w:tcPr>
          <w:p w14:paraId="1BCACB40">
            <w:pPr>
              <w:spacing w:line="460" w:lineRule="exact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t>助理工程师</w:t>
            </w:r>
          </w:p>
        </w:tc>
        <w:tc>
          <w:tcPr>
            <w:tcW w:w="1364" w:type="pct"/>
            <w:noWrap w:val="0"/>
            <w:vAlign w:val="center"/>
          </w:tcPr>
          <w:p w14:paraId="5F3DB4D2">
            <w:pPr>
              <w:spacing w:line="460" w:lineRule="exact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t>鲁J20220074</w:t>
            </w:r>
          </w:p>
        </w:tc>
      </w:tr>
      <w:tr w14:paraId="64F142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" w:hRule="atLeast"/>
          <w:jc w:val="center"/>
        </w:trPr>
        <w:tc>
          <w:tcPr>
            <w:tcW w:w="2009" w:type="pct"/>
            <w:vMerge w:val="continue"/>
            <w:noWrap w:val="0"/>
            <w:vAlign w:val="center"/>
          </w:tcPr>
          <w:p w14:paraId="4734A250">
            <w:pPr>
              <w:spacing w:line="460" w:lineRule="exact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805" w:type="pct"/>
            <w:noWrap w:val="0"/>
            <w:vAlign w:val="center"/>
          </w:tcPr>
          <w:p w14:paraId="2A5AF1E1">
            <w:pPr>
              <w:spacing w:line="460" w:lineRule="exact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t>代胜鹏</w:t>
            </w:r>
          </w:p>
        </w:tc>
        <w:tc>
          <w:tcPr>
            <w:tcW w:w="820" w:type="pct"/>
            <w:noWrap w:val="0"/>
            <w:vAlign w:val="center"/>
          </w:tcPr>
          <w:p w14:paraId="4713229D">
            <w:pPr>
              <w:spacing w:line="460" w:lineRule="exact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t>中级工程师</w:t>
            </w:r>
          </w:p>
        </w:tc>
        <w:tc>
          <w:tcPr>
            <w:tcW w:w="1364" w:type="pct"/>
            <w:noWrap w:val="0"/>
            <w:vAlign w:val="center"/>
          </w:tcPr>
          <w:p w14:paraId="7798A63E">
            <w:pPr>
              <w:spacing w:line="460" w:lineRule="exact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t>鲁J20230042</w:t>
            </w:r>
          </w:p>
        </w:tc>
      </w:tr>
      <w:tr w14:paraId="50C84B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2009" w:type="pct"/>
            <w:noWrap w:val="0"/>
            <w:vAlign w:val="center"/>
          </w:tcPr>
          <w:p w14:paraId="14D9D581">
            <w:pPr>
              <w:spacing w:line="460" w:lineRule="exact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t>现场调查时间</w:t>
            </w:r>
          </w:p>
        </w:tc>
        <w:tc>
          <w:tcPr>
            <w:tcW w:w="2990" w:type="pct"/>
            <w:gridSpan w:val="3"/>
            <w:noWrap w:val="0"/>
            <w:vAlign w:val="center"/>
          </w:tcPr>
          <w:p w14:paraId="0EC75737">
            <w:pPr>
              <w:spacing w:line="460" w:lineRule="exact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t>2024年9月2日</w:t>
            </w:r>
          </w:p>
        </w:tc>
      </w:tr>
      <w:tr w14:paraId="1B9844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2009" w:type="pct"/>
            <w:noWrap w:val="0"/>
            <w:vAlign w:val="center"/>
          </w:tcPr>
          <w:p w14:paraId="161C8F0D">
            <w:pPr>
              <w:spacing w:line="460" w:lineRule="exact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t>现场采样时间</w:t>
            </w:r>
          </w:p>
        </w:tc>
        <w:tc>
          <w:tcPr>
            <w:tcW w:w="2990" w:type="pct"/>
            <w:gridSpan w:val="3"/>
            <w:noWrap w:val="0"/>
            <w:vAlign w:val="center"/>
          </w:tcPr>
          <w:p w14:paraId="7413DEB1">
            <w:pPr>
              <w:spacing w:line="460" w:lineRule="exact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t>2024年9月3日</w:t>
            </w:r>
          </w:p>
        </w:tc>
      </w:tr>
      <w:tr w14:paraId="302C37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  <w:jc w:val="center"/>
        </w:trPr>
        <w:tc>
          <w:tcPr>
            <w:tcW w:w="2009" w:type="pct"/>
            <w:noWrap w:val="0"/>
            <w:vAlign w:val="center"/>
          </w:tcPr>
          <w:p w14:paraId="09035CF6">
            <w:pPr>
              <w:spacing w:line="460" w:lineRule="exact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2990" w:type="pct"/>
            <w:gridSpan w:val="3"/>
            <w:noWrap w:val="0"/>
            <w:vAlign w:val="center"/>
          </w:tcPr>
          <w:p w14:paraId="5E7ADA87">
            <w:pPr>
              <w:spacing w:line="460" w:lineRule="exact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  <w:t>田宝亮</w:t>
            </w:r>
          </w:p>
        </w:tc>
      </w:tr>
      <w:tr w14:paraId="7BDA5C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3" w:hRule="atLeast"/>
          <w:jc w:val="center"/>
        </w:trPr>
        <w:tc>
          <w:tcPr>
            <w:tcW w:w="2009" w:type="pct"/>
            <w:noWrap w:val="0"/>
            <w:vAlign w:val="center"/>
          </w:tcPr>
          <w:p w14:paraId="0125F508">
            <w:pPr>
              <w:spacing w:line="460" w:lineRule="exact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t>用人单位存在的职业病危害因素及检测结果</w:t>
            </w:r>
          </w:p>
        </w:tc>
        <w:tc>
          <w:tcPr>
            <w:tcW w:w="2990" w:type="pct"/>
            <w:gridSpan w:val="3"/>
            <w:noWrap w:val="0"/>
            <w:vAlign w:val="top"/>
          </w:tcPr>
          <w:p w14:paraId="45F4BE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 w:right="0" w:rightChars="0" w:firstLine="0" w:firstLineChars="0"/>
              <w:jc w:val="both"/>
              <w:textAlignment w:val="auto"/>
              <w:outlineLvl w:val="1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bookmarkStart w:id="0" w:name="_Toc29238"/>
            <w:bookmarkStart w:id="1" w:name="_Toc4656"/>
            <w:bookmarkStart w:id="2" w:name="_Toc5567"/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1 化学有害因素</w:t>
            </w:r>
            <w:bookmarkEnd w:id="0"/>
            <w:bookmarkEnd w:id="1"/>
            <w:bookmarkEnd w:id="2"/>
          </w:p>
          <w:p w14:paraId="1D3BBADC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545"/>
              <w:textAlignment w:val="auto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1"/>
                <w:lang w:val="zh-CN" w:eastAsia="zh-CN"/>
              </w:rPr>
            </w:pPr>
            <w:bookmarkStart w:id="3" w:name="_Toc4522"/>
            <w:bookmarkStart w:id="4" w:name="_Toc28477"/>
            <w:bookmarkStart w:id="5" w:name="_Toc18527"/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1"/>
                <w:lang w:val="zh-CN" w:eastAsia="zh-CN"/>
              </w:rPr>
              <w:t>经实验室分析，本次检测</w:t>
            </w: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vertAlign w:val="baseline"/>
                <w:lang w:eastAsia="zh-CN"/>
              </w:rPr>
              <w:t>电焊烟尘</w:t>
            </w: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vertAlign w:val="baseline"/>
                <w:lang w:val="en-US" w:eastAsia="zh-CN"/>
              </w:rPr>
              <w:t>、</w:t>
            </w: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vertAlign w:val="baseline"/>
                <w:lang w:eastAsia="zh-CN"/>
              </w:rPr>
              <w:t>锰及其化合物、氮氧化物、一氧化碳、</w:t>
            </w: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vertAlign w:val="baseline"/>
                <w:lang w:val="en-US" w:eastAsia="zh-CN"/>
              </w:rPr>
              <w:t>二氧化碳、甲醇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1"/>
                <w:lang w:val="zh-CN" w:eastAsia="zh-CN"/>
              </w:rPr>
              <w:t>的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1"/>
                <w:lang w:val="en-US" w:eastAsia="zh-CN"/>
              </w:rPr>
              <w:t>短时间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1"/>
                <w:lang w:val="zh-CN" w:eastAsia="zh-CN"/>
              </w:rPr>
              <w:t>接触浓度及时间加权平均浓度检测结果均符合《工作场所有害因素职业接触限值 第1部分：化学有害因素》（GBZ 2.1-20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1"/>
                <w:lang w:val="en-US" w:eastAsia="zh-CN"/>
              </w:rPr>
              <w:t>19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1"/>
                <w:lang w:val="zh-CN" w:eastAsia="zh-CN"/>
              </w:rPr>
              <w:t>）的要求。</w:t>
            </w:r>
          </w:p>
          <w:p w14:paraId="2A73AE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 w:right="0" w:rightChars="0" w:firstLine="0" w:firstLineChars="0"/>
              <w:jc w:val="both"/>
              <w:textAlignment w:val="auto"/>
              <w:outlineLvl w:val="1"/>
              <w:rPr>
                <w:rFonts w:hint="default" w:ascii="Times New Roman" w:hAnsi="Times New Roman" w:eastAsia="仿宋_GB2312" w:cs="Times New Roman"/>
                <w:color w:val="000000"/>
                <w:sz w:val="21"/>
                <w:szCs w:val="21"/>
                <w:lang w:val="zh-CN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1"/>
                <w:lang w:val="en-US" w:eastAsia="zh-CN"/>
              </w:rPr>
              <w:t>臭氧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1"/>
                <w:lang w:val="zh-CN" w:eastAsia="zh-CN"/>
              </w:rPr>
              <w:t>的最高容许浓度结果符合《工作场所有害因素职业接触限值 第1部分：化学有害因素》（GBZ2.1-20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1"/>
                <w:lang w:val="en-US" w:eastAsia="zh-CN"/>
              </w:rPr>
              <w:t>19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1"/>
                <w:lang w:val="zh-CN" w:eastAsia="zh-CN"/>
              </w:rPr>
              <w:t>）的要求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1"/>
                <w:szCs w:val="21"/>
                <w:lang w:val="zh-CN" w:eastAsia="zh-CN"/>
              </w:rPr>
              <w:t>。</w:t>
            </w:r>
          </w:p>
          <w:p w14:paraId="0523EE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 w:right="0" w:rightChars="0" w:firstLine="0" w:firstLineChars="0"/>
              <w:jc w:val="both"/>
              <w:textAlignment w:val="auto"/>
              <w:outlineLvl w:val="1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2 物理因素</w:t>
            </w:r>
            <w:bookmarkEnd w:id="3"/>
            <w:bookmarkEnd w:id="4"/>
            <w:bookmarkEnd w:id="5"/>
          </w:p>
          <w:p w14:paraId="574F1681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  <w:t>经测量，检测点噪声测量40h等效声级均符合《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2"/>
                <w:sz w:val="21"/>
                <w:szCs w:val="21"/>
                <w:lang w:val="zh-CN" w:eastAsia="zh-CN" w:bidi="ar-SA"/>
              </w:rPr>
              <w:t>工作场所有害因素职业接触限值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2"/>
                <w:sz w:val="21"/>
                <w:szCs w:val="21"/>
                <w:lang w:val="zh-CN" w:eastAsia="zh-CN" w:bidi="ar-SA"/>
              </w:rPr>
              <w:t>第2部分：物理因素》（GBZ2.2-2007）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  <w:t>规定的限值要求。</w:t>
            </w:r>
          </w:p>
          <w:p w14:paraId="69FA39E6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textAlignment w:val="auto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1"/>
                <w:lang w:val="en-US" w:eastAsia="zh-CN"/>
              </w:rPr>
              <w:t>工频电场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1"/>
                <w:lang w:eastAsia="zh-CN"/>
              </w:rPr>
              <w:t>测量结果符合《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1"/>
                <w:lang w:val="zh-CN" w:eastAsia="zh-CN"/>
              </w:rPr>
              <w:t>工作场所有害因素职业接触限值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1"/>
                <w:lang w:val="zh-CN" w:eastAsia="zh-CN"/>
              </w:rPr>
              <w:t>第2部分：物理因素》（GBZ 2.2-2007）的要求。</w:t>
            </w:r>
          </w:p>
          <w:p w14:paraId="5E6F503B">
            <w:pPr>
              <w:pStyle w:val="2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4"/>
                <w:sz w:val="21"/>
                <w:szCs w:val="21"/>
                <w:lang w:val="en-US" w:eastAsia="zh-CN" w:bidi="ar-SA"/>
              </w:rPr>
              <w:t>紫外辐射测量结果均符合《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24"/>
                <w:sz w:val="21"/>
                <w:szCs w:val="21"/>
                <w:lang w:val="zh-CN" w:eastAsia="zh-CN" w:bidi="ar-SA"/>
              </w:rPr>
              <w:t>工作场所有害因素职业接触限值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24"/>
                <w:sz w:val="21"/>
                <w:szCs w:val="21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24"/>
                <w:sz w:val="21"/>
                <w:szCs w:val="21"/>
                <w:lang w:val="zh-CN" w:eastAsia="zh-CN" w:bidi="ar-SA"/>
              </w:rPr>
              <w:t>第2部分：物理因素》（GBZ 2.2-2007）的要求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1"/>
                <w:lang w:val="zh-CN" w:eastAsia="zh-CN"/>
              </w:rPr>
              <w:t>。</w:t>
            </w:r>
          </w:p>
        </w:tc>
      </w:tr>
      <w:tr w14:paraId="61EF4F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3" w:hRule="atLeast"/>
          <w:jc w:val="center"/>
        </w:trPr>
        <w:tc>
          <w:tcPr>
            <w:tcW w:w="5000" w:type="pct"/>
            <w:gridSpan w:val="4"/>
            <w:noWrap w:val="0"/>
            <w:vAlign w:val="center"/>
          </w:tcPr>
          <w:p w14:paraId="2142E210">
            <w:pPr>
              <w:pStyle w:val="2"/>
              <w:rPr>
                <w:rFonts w:hint="default" w:ascii="Times New Roman" w:hAnsi="Times New Roman" w:eastAsia="仿宋_GB2312" w:cs="Times New Roman"/>
                <w:color w:val="auto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3072130</wp:posOffset>
                  </wp:positionH>
                  <wp:positionV relativeFrom="paragraph">
                    <wp:posOffset>43180</wp:posOffset>
                  </wp:positionV>
                  <wp:extent cx="2589530" cy="1941195"/>
                  <wp:effectExtent l="0" t="0" r="39370" b="27305"/>
                  <wp:wrapTight wrapText="bothSides">
                    <wp:wrapPolygon>
                      <wp:start x="0" y="0"/>
                      <wp:lineTo x="0" y="21480"/>
                      <wp:lineTo x="21505" y="21480"/>
                      <wp:lineTo x="21505" y="0"/>
                      <wp:lineTo x="0" y="0"/>
                    </wp:wrapPolygon>
                  </wp:wrapTight>
                  <wp:docPr id="2" name="图片 2" descr="a61a696b4e6c93be4865248262d85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a61a696b4e6c93be4865248262d85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530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57150</wp:posOffset>
                  </wp:positionV>
                  <wp:extent cx="2748915" cy="2061210"/>
                  <wp:effectExtent l="0" t="0" r="19685" b="34290"/>
                  <wp:wrapTight wrapText="bothSides">
                    <wp:wrapPolygon>
                      <wp:start x="0" y="0"/>
                      <wp:lineTo x="0" y="21427"/>
                      <wp:lineTo x="21455" y="21427"/>
                      <wp:lineTo x="21455" y="0"/>
                      <wp:lineTo x="0" y="0"/>
                    </wp:wrapPolygon>
                  </wp:wrapTight>
                  <wp:docPr id="1" name="图片 1" descr="6aad3b3762d39acaf9d9d5e0180bf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6aad3b3762d39acaf9d9d5e0180bf3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915" cy="206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37858A5">
      <w:pPr>
        <w:rPr>
          <w:rFonts w:hint="eastAsia" w:eastAsia="宋体"/>
        </w:rPr>
      </w:pPr>
    </w:p>
    <w:sectPr>
      <w:headerReference r:id="rId3" w:type="default"/>
      <w:footerReference r:id="rId4" w:type="default"/>
      <w:pgSz w:w="11906" w:h="16838"/>
      <w:pgMar w:top="1134" w:right="1304" w:bottom="1134" w:left="1304" w:header="851" w:footer="85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BF2440">
    <w:pPr>
      <w:pStyle w:val="5"/>
      <w:ind w:firstLine="1960" w:firstLineChars="700"/>
      <w:jc w:val="right"/>
      <w:rPr>
        <w:rFonts w:hint="eastAsia" w:ascii="宋体" w:hAnsi="宋体" w:eastAsia="宋体"/>
        <w:sz w:val="28"/>
        <w:szCs w:val="28"/>
      </w:rPr>
    </w:pPr>
    <w:r>
      <w:rPr>
        <w:rFonts w:hint="eastAsia" w:ascii="宋体" w:hAnsi="宋体" w:eastAsia="宋体"/>
        <w:sz w:val="28"/>
        <w:szCs w:val="28"/>
      </w:rPr>
      <w:t xml:space="preserve">          第   页   共   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7E18E1">
    <w:pPr>
      <w:pStyle w:val="6"/>
      <w:jc w:val="both"/>
      <w:rPr>
        <w:rFonts w:ascii="宋体" w:hAnsi="宋体" w:cs="宋体"/>
        <w:sz w:val="24"/>
      </w:rPr>
    </w:pPr>
  </w:p>
  <w:p w14:paraId="4A0FA1A4">
    <w:pPr>
      <w:pStyle w:val="6"/>
      <w:jc w:val="both"/>
      <w:rPr>
        <w:rFonts w:hint="eastAsia" w:ascii="Arial" w:hAnsi="Arial" w:eastAsia="宋体" w:cs="Arial"/>
        <w:sz w:val="24"/>
        <w:szCs w:val="24"/>
        <w:lang w:eastAsia="zh-CN"/>
      </w:rPr>
    </w:pPr>
    <w:r>
      <w:rPr>
        <w:rFonts w:ascii="Arial" w:hAnsi="Arial" w:cs="Arial"/>
        <w:sz w:val="24"/>
        <w:szCs w:val="24"/>
      </w:rPr>
      <w:t>JM/JLB-ZWJ-0</w:t>
    </w:r>
    <w:r>
      <w:rPr>
        <w:rFonts w:hint="eastAsia" w:ascii="Arial" w:hAnsi="Arial" w:eastAsia="宋体" w:cs="Arial"/>
        <w:sz w:val="24"/>
        <w:szCs w:val="24"/>
        <w:lang w:val="en-US" w:eastAsia="zh-CN"/>
      </w:rPr>
      <w:t>48</w:t>
    </w:r>
    <w:r>
      <w:rPr>
        <w:rFonts w:ascii="Arial" w:hAnsi="Arial" w:eastAsia="宋体" w:cs="Arial"/>
        <w:sz w:val="24"/>
        <w:szCs w:val="24"/>
      </w:rPr>
      <w:t xml:space="preserve">               </w:t>
    </w:r>
    <w:r>
      <w:rPr>
        <w:rFonts w:hint="eastAsia" w:ascii="Arial" w:hAnsi="Arial" w:eastAsia="宋体" w:cs="Arial"/>
        <w:sz w:val="24"/>
        <w:szCs w:val="24"/>
        <w:lang w:val="en-US" w:eastAsia="zh-CN"/>
      </w:rPr>
      <w:t xml:space="preserve">     </w:t>
    </w:r>
    <w:r>
      <w:rPr>
        <w:rFonts w:ascii="Arial" w:hAnsi="Arial" w:eastAsia="宋体" w:cs="Arial"/>
        <w:sz w:val="24"/>
        <w:szCs w:val="24"/>
      </w:rPr>
      <w:t xml:space="preserve">                 </w:t>
    </w:r>
    <w:r>
      <w:rPr>
        <w:rFonts w:hint="eastAsia" w:ascii="Arial" w:hAnsi="Arial" w:eastAsia="宋体" w:cs="Arial"/>
        <w:sz w:val="24"/>
        <w:szCs w:val="24"/>
        <w:lang w:val="en-US" w:eastAsia="zh-CN"/>
      </w:rPr>
      <w:t>山东锦铭检测技术有限公司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DC60642"/>
    <w:multiLevelType w:val="multilevel"/>
    <w:tmpl w:val="6DC60642"/>
    <w:lvl w:ilvl="0" w:tentative="0">
      <w:start w:val="1"/>
      <w:numFmt w:val="chineseCountingThousand"/>
      <w:suff w:val="space"/>
      <w:lvlText w:val="第%1章"/>
      <w:lvlJc w:val="center"/>
      <w:pPr>
        <w:ind w:left="0" w:firstLine="288"/>
      </w:pPr>
      <w:rPr>
        <w:rFonts w:hint="eastAsia" w:ascii="宋体" w:eastAsia="宋体"/>
        <w:b/>
        <w:i w:val="0"/>
        <w:spacing w:val="30"/>
        <w:w w:val="100"/>
        <w:kern w:val="32"/>
        <w:position w:val="0"/>
        <w:sz w:val="44"/>
        <w:szCs w:val="44"/>
      </w:rPr>
    </w:lvl>
    <w:lvl w:ilvl="1" w:tentative="0">
      <w:start w:val="1"/>
      <w:numFmt w:val="decimal"/>
      <w:isLgl/>
      <w:suff w:val="space"/>
      <w:lvlText w:val="%1.%2"/>
      <w:lvlJc w:val="left"/>
      <w:pPr>
        <w:ind w:left="0" w:firstLine="0"/>
      </w:pPr>
      <w:rPr>
        <w:rFonts w:hint="eastAsia" w:ascii="宋体" w:eastAsia="宋体"/>
        <w:b/>
        <w:i w:val="0"/>
        <w:spacing w:val="0"/>
        <w:w w:val="100"/>
        <w:kern w:val="30"/>
        <w:position w:val="0"/>
        <w:sz w:val="30"/>
      </w:rPr>
    </w:lvl>
    <w:lvl w:ilvl="2" w:tentative="0">
      <w:start w:val="1"/>
      <w:numFmt w:val="decimal"/>
      <w:pStyle w:val="3"/>
      <w:isLgl/>
      <w:suff w:val="space"/>
      <w:lvlText w:val="%1.%2.%3"/>
      <w:lvlJc w:val="left"/>
      <w:pPr>
        <w:ind w:left="0" w:firstLine="0"/>
      </w:pPr>
      <w:rPr>
        <w:rFonts w:hint="eastAsia" w:ascii="宋体" w:eastAsia="宋体"/>
        <w:b/>
        <w:i w:val="0"/>
        <w:spacing w:val="-20"/>
        <w:w w:val="100"/>
        <w:kern w:val="28"/>
        <w:position w:val="0"/>
        <w:sz w:val="28"/>
      </w:rPr>
    </w:lvl>
    <w:lvl w:ilvl="3" w:tentative="0">
      <w:start w:val="1"/>
      <w:numFmt w:val="decimal"/>
      <w:isLgl/>
      <w:suff w:val="nothing"/>
      <w:lvlText w:val="%1.%2.%3.%4  "/>
      <w:lvlJc w:val="left"/>
      <w:pPr>
        <w:ind w:left="426" w:firstLine="0"/>
      </w:pPr>
      <w:rPr>
        <w:rFonts w:hint="eastAsia"/>
        <w:b w:val="0"/>
        <w:i w:val="0"/>
      </w:rPr>
    </w:lvl>
    <w:lvl w:ilvl="4" w:tentative="0">
      <w:start w:val="1"/>
      <w:numFmt w:val="decimal"/>
      <w:isLgl/>
      <w:suff w:val="nothing"/>
      <w:lvlText w:val="%1.%2.%3.%4.%5  "/>
      <w:lvlJc w:val="left"/>
      <w:pPr>
        <w:ind w:left="1418" w:firstLine="0"/>
      </w:pPr>
      <w:rPr>
        <w:rFonts w:hint="eastAsia"/>
        <w:b w:val="0"/>
        <w:i w:val="0"/>
      </w:rPr>
    </w:lvl>
    <w:lvl w:ilvl="5" w:tentative="0">
      <w:start w:val="1"/>
      <w:numFmt w:val="decimal"/>
      <w:isLgl/>
      <w:suff w:val="nothing"/>
      <w:lvlText w:val="%1.%2.%3.%4.%5.%6  "/>
      <w:lvlJc w:val="left"/>
      <w:pPr>
        <w:ind w:left="1418" w:firstLine="0"/>
      </w:pPr>
      <w:rPr>
        <w:rFonts w:hint="eastAsia"/>
      </w:rPr>
    </w:lvl>
    <w:lvl w:ilvl="6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7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UxNmYzZDU0MDQwZjczOTNlYTk4MDY3OGRjNTlhNTAifQ=="/>
  </w:docVars>
  <w:rsids>
    <w:rsidRoot w:val="238414D8"/>
    <w:rsid w:val="00036032"/>
    <w:rsid w:val="00365DBC"/>
    <w:rsid w:val="004607F8"/>
    <w:rsid w:val="0049127D"/>
    <w:rsid w:val="007C5EAB"/>
    <w:rsid w:val="00910B32"/>
    <w:rsid w:val="00E62C1D"/>
    <w:rsid w:val="030778A3"/>
    <w:rsid w:val="032254D7"/>
    <w:rsid w:val="05A36B25"/>
    <w:rsid w:val="0A3467B2"/>
    <w:rsid w:val="0B1D7CBA"/>
    <w:rsid w:val="0BF842A5"/>
    <w:rsid w:val="0C2C0084"/>
    <w:rsid w:val="0CA35725"/>
    <w:rsid w:val="0D0F3435"/>
    <w:rsid w:val="0DD040A6"/>
    <w:rsid w:val="12E82859"/>
    <w:rsid w:val="18B17FE8"/>
    <w:rsid w:val="19863B79"/>
    <w:rsid w:val="1D7F3E2D"/>
    <w:rsid w:val="1DC5432B"/>
    <w:rsid w:val="1E2F68D8"/>
    <w:rsid w:val="1E5307A5"/>
    <w:rsid w:val="1F8C199B"/>
    <w:rsid w:val="238414D8"/>
    <w:rsid w:val="251754FE"/>
    <w:rsid w:val="25B74893"/>
    <w:rsid w:val="282B5336"/>
    <w:rsid w:val="2D9B742B"/>
    <w:rsid w:val="384E6106"/>
    <w:rsid w:val="3E7B787E"/>
    <w:rsid w:val="404876F2"/>
    <w:rsid w:val="4624125B"/>
    <w:rsid w:val="485C799C"/>
    <w:rsid w:val="487505EB"/>
    <w:rsid w:val="49980471"/>
    <w:rsid w:val="4A366299"/>
    <w:rsid w:val="4B311F6B"/>
    <w:rsid w:val="4B721FB1"/>
    <w:rsid w:val="4BC548E7"/>
    <w:rsid w:val="4CFB68C5"/>
    <w:rsid w:val="50775C32"/>
    <w:rsid w:val="50FA6609"/>
    <w:rsid w:val="513A2234"/>
    <w:rsid w:val="53334206"/>
    <w:rsid w:val="541D251B"/>
    <w:rsid w:val="549C14D5"/>
    <w:rsid w:val="56E6420A"/>
    <w:rsid w:val="57A45951"/>
    <w:rsid w:val="58950FF5"/>
    <w:rsid w:val="5F1E3BAF"/>
    <w:rsid w:val="618D3613"/>
    <w:rsid w:val="627D4912"/>
    <w:rsid w:val="6361110E"/>
    <w:rsid w:val="64A912FA"/>
    <w:rsid w:val="64F917F9"/>
    <w:rsid w:val="6B826114"/>
    <w:rsid w:val="72241F8B"/>
    <w:rsid w:val="736039B9"/>
    <w:rsid w:val="785A56F5"/>
    <w:rsid w:val="7AA80FC8"/>
    <w:rsid w:val="7B20218F"/>
    <w:rsid w:val="7D3C2872"/>
    <w:rsid w:val="7E407230"/>
    <w:rsid w:val="7FC2226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MS Gothic" w:cs="Times New Roman"/>
      <w:kern w:val="2"/>
      <w:sz w:val="21"/>
      <w:szCs w:val="21"/>
      <w:lang w:val="en-US" w:eastAsia="zh-CN" w:bidi="ar-SA"/>
    </w:rPr>
  </w:style>
  <w:style w:type="paragraph" w:styleId="3">
    <w:name w:val="heading 3"/>
    <w:basedOn w:val="1"/>
    <w:next w:val="1"/>
    <w:autoRedefine/>
    <w:qFormat/>
    <w:uiPriority w:val="9"/>
    <w:pPr>
      <w:numPr>
        <w:ilvl w:val="2"/>
        <w:numId w:val="1"/>
      </w:numPr>
      <w:spacing w:before="120" w:after="120" w:line="240" w:lineRule="atLeast"/>
      <w:outlineLvl w:val="2"/>
    </w:pPr>
    <w:rPr>
      <w:rFonts w:ascii="宋体" w:hAnsi="Times New Roman" w:eastAsia="仿宋_GB2312" w:cs="Times New Roman"/>
      <w:b/>
      <w:spacing w:val="20"/>
      <w:kern w:val="28"/>
      <w:sz w:val="30"/>
      <w:szCs w:val="20"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autoRedefine/>
    <w:qFormat/>
    <w:uiPriority w:val="0"/>
    <w:pPr>
      <w:spacing w:line="400" w:lineRule="exact"/>
      <w:ind w:firstLine="200" w:firstLineChars="200"/>
    </w:pPr>
    <w:rPr>
      <w:kern w:val="24"/>
      <w:sz w:val="24"/>
    </w:rPr>
  </w:style>
  <w:style w:type="paragraph" w:styleId="4">
    <w:name w:val="annotation text"/>
    <w:basedOn w:val="1"/>
    <w:autoRedefine/>
    <w:qFormat/>
    <w:uiPriority w:val="0"/>
    <w:pPr>
      <w:jc w:val="left"/>
    </w:pPr>
  </w:style>
  <w:style w:type="paragraph" w:styleId="5">
    <w:name w:val="footer"/>
    <w:basedOn w:val="1"/>
    <w:link w:val="12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autoRedefine/>
    <w:qFormat/>
    <w:uiPriority w:val="0"/>
  </w:style>
  <w:style w:type="paragraph" w:styleId="8">
    <w:name w:val="Title"/>
    <w:basedOn w:val="1"/>
    <w:next w:val="1"/>
    <w:autoRedefine/>
    <w:qFormat/>
    <w:uiPriority w:val="10"/>
    <w:pPr>
      <w:spacing w:beforeLines="0" w:beforeAutospacing="0" w:afterLines="0" w:afterAutospacing="0"/>
      <w:jc w:val="center"/>
      <w:outlineLvl w:val="0"/>
    </w:pPr>
    <w:rPr>
      <w:rFonts w:ascii="Arial" w:hAnsi="Arial"/>
    </w:rPr>
  </w:style>
  <w:style w:type="paragraph" w:customStyle="1" w:styleId="11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Arial" w:hAnsi="Arial" w:eastAsia="宋体" w:cs="Arial"/>
      <w:color w:val="000000"/>
      <w:sz w:val="24"/>
      <w:szCs w:val="24"/>
      <w:lang w:val="en-US" w:eastAsia="zh-CN" w:bidi="ar-SA"/>
    </w:rPr>
  </w:style>
  <w:style w:type="character" w:customStyle="1" w:styleId="12">
    <w:name w:val="页脚 Char"/>
    <w:link w:val="5"/>
    <w:autoRedefine/>
    <w:qFormat/>
    <w:uiPriority w:val="0"/>
    <w:rPr>
      <w:rFonts w:eastAsia="MS Gothic"/>
      <w:kern w:val="2"/>
      <w:sz w:val="18"/>
      <w:szCs w:val="18"/>
    </w:rPr>
  </w:style>
  <w:style w:type="character" w:customStyle="1" w:styleId="13">
    <w:name w:val="页眉 Char"/>
    <w:link w:val="6"/>
    <w:autoRedefine/>
    <w:qFormat/>
    <w:uiPriority w:val="0"/>
    <w:rPr>
      <w:rFonts w:eastAsia="MS Gothic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483</Words>
  <Characters>580</Characters>
  <Lines>4</Lines>
  <Paragraphs>1</Paragraphs>
  <TotalTime>0</TotalTime>
  <ScaleCrop>false</ScaleCrop>
  <LinksUpToDate>false</LinksUpToDate>
  <CharactersWithSpaces>599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2016-03-22T00:25:00Z</dcterms:created>
  <dc:creator>Administrator</dc:creator>
  <cp:lastModifiedBy>YFF</cp:lastModifiedBy>
  <cp:lastPrinted>2018-05-08T03:16:00Z</cp:lastPrinted>
  <dcterms:modified xsi:type="dcterms:W3CDTF">2024-10-07T06:27:44Z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1204E71F54E340FEADAB8DDD42A830A1</vt:lpwstr>
  </property>
</Properties>
</file>